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451" w:rsidRDefault="00D72451" w:rsidP="00D72451">
      <w:pPr>
        <w:spacing w:line="480" w:lineRule="auto"/>
        <w:rPr>
          <w:rFonts w:ascii="Times New Roman" w:hAnsi="Times New Roman" w:cs="Times New Roman"/>
          <w:sz w:val="24"/>
          <w:szCs w:val="24"/>
        </w:rPr>
      </w:pPr>
    </w:p>
    <w:p w:rsidR="00D72451" w:rsidRDefault="00D72451" w:rsidP="00D72451">
      <w:pPr>
        <w:spacing w:line="480" w:lineRule="auto"/>
        <w:rPr>
          <w:rFonts w:ascii="Times New Roman" w:hAnsi="Times New Roman" w:cs="Times New Roman"/>
          <w:sz w:val="24"/>
          <w:szCs w:val="24"/>
        </w:rPr>
      </w:pPr>
    </w:p>
    <w:p w:rsidR="00D72451" w:rsidRDefault="00D72451" w:rsidP="00D72451">
      <w:pPr>
        <w:spacing w:line="480" w:lineRule="auto"/>
        <w:rPr>
          <w:rFonts w:ascii="Times New Roman" w:hAnsi="Times New Roman" w:cs="Times New Roman"/>
          <w:sz w:val="24"/>
          <w:szCs w:val="24"/>
        </w:rPr>
      </w:pPr>
    </w:p>
    <w:p w:rsidR="00D72451" w:rsidRDefault="00D72451" w:rsidP="00D72451">
      <w:pPr>
        <w:spacing w:line="480" w:lineRule="auto"/>
        <w:rPr>
          <w:rFonts w:ascii="Times New Roman" w:hAnsi="Times New Roman" w:cs="Times New Roman"/>
          <w:sz w:val="24"/>
          <w:szCs w:val="24"/>
        </w:rPr>
      </w:pPr>
    </w:p>
    <w:p w:rsidR="00D72451" w:rsidRDefault="00D72451" w:rsidP="00D72451">
      <w:pPr>
        <w:spacing w:line="480" w:lineRule="auto"/>
        <w:rPr>
          <w:rFonts w:ascii="Times New Roman" w:hAnsi="Times New Roman" w:cs="Times New Roman"/>
          <w:sz w:val="24"/>
          <w:szCs w:val="24"/>
        </w:rPr>
      </w:pPr>
    </w:p>
    <w:p w:rsidR="00D72451" w:rsidRDefault="00D72451" w:rsidP="00D72451">
      <w:pPr>
        <w:spacing w:line="480" w:lineRule="auto"/>
        <w:rPr>
          <w:rFonts w:ascii="Times New Roman" w:hAnsi="Times New Roman" w:cs="Times New Roman"/>
          <w:sz w:val="24"/>
          <w:szCs w:val="24"/>
        </w:rPr>
      </w:pPr>
    </w:p>
    <w:p w:rsidR="00D72451" w:rsidRDefault="00D72451" w:rsidP="00D72451">
      <w:pPr>
        <w:spacing w:line="480" w:lineRule="auto"/>
        <w:rPr>
          <w:rFonts w:ascii="Times New Roman" w:hAnsi="Times New Roman" w:cs="Times New Roman"/>
          <w:sz w:val="24"/>
          <w:szCs w:val="24"/>
        </w:rPr>
      </w:pPr>
    </w:p>
    <w:p w:rsidR="00D72451" w:rsidRDefault="00D72451" w:rsidP="00D7245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Laws and Ethics in </w:t>
      </w:r>
      <w:r w:rsidR="00DA6945">
        <w:rPr>
          <w:rFonts w:ascii="Times New Roman" w:hAnsi="Times New Roman" w:cs="Times New Roman"/>
          <w:sz w:val="24"/>
          <w:szCs w:val="24"/>
        </w:rPr>
        <w:t>Cyber security</w:t>
      </w:r>
    </w:p>
    <w:p w:rsidR="00D72451" w:rsidRDefault="00D72451" w:rsidP="00D7245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D72451" w:rsidRDefault="00D72451" w:rsidP="00D7245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D72451" w:rsidRDefault="00D72451">
      <w:pPr>
        <w:rPr>
          <w:rFonts w:ascii="Times New Roman" w:hAnsi="Times New Roman" w:cs="Times New Roman"/>
          <w:sz w:val="24"/>
          <w:szCs w:val="24"/>
        </w:rPr>
      </w:pPr>
      <w:r>
        <w:rPr>
          <w:rFonts w:ascii="Times New Roman" w:hAnsi="Times New Roman" w:cs="Times New Roman"/>
          <w:sz w:val="24"/>
          <w:szCs w:val="24"/>
        </w:rPr>
        <w:br w:type="page"/>
      </w:r>
    </w:p>
    <w:p w:rsidR="00D72451" w:rsidRDefault="00D72451" w:rsidP="00DA6945">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Laws and Ethics in Cybersecurity</w:t>
      </w:r>
    </w:p>
    <w:p w:rsidR="005469EA" w:rsidRPr="00D72451" w:rsidRDefault="005469EA" w:rsidP="00DA6945">
      <w:pPr>
        <w:spacing w:after="0" w:line="480" w:lineRule="auto"/>
        <w:ind w:firstLine="720"/>
        <w:contextualSpacing/>
        <w:rPr>
          <w:rFonts w:ascii="Times New Roman" w:hAnsi="Times New Roman" w:cs="Times New Roman"/>
          <w:sz w:val="24"/>
          <w:szCs w:val="24"/>
        </w:rPr>
      </w:pPr>
      <w:r w:rsidRPr="00D72451">
        <w:rPr>
          <w:rFonts w:ascii="Times New Roman" w:hAnsi="Times New Roman" w:cs="Times New Roman"/>
          <w:sz w:val="24"/>
          <w:szCs w:val="24"/>
        </w:rPr>
        <w:t xml:space="preserve">The process of reporting security flaws in software and hardware is referred to as a vulnerability disclosure (Pupillo, Ferreira, &amp; Varisco, 2018). Vulnerability disclosure by an independent user such as a cybersecurity researcher is essential as it helps in identifying the flaws and recommending ways of solving the flaws. However, many stakeholders have different preferences on how vulnerability should be disclosed. As an independent researcher, the vulnerability disclosure should follow a given process, which is according to the law and ethics. In this regard, the independent researcher should not publicize the flaw before informing the vendor. As such, the independent user must first establish the vulnerability and its potential impacts. The researcher is then expected to create a vulnerability advisory report, together with the evidence and the full disclosure timeline, which is securely submitted to the vendor. It is unethical to publicize the report before informing the vendor (Pupillo, Ferreira, &amp; Varisco, 2018). </w:t>
      </w:r>
    </w:p>
    <w:p w:rsidR="005469EA" w:rsidRPr="00D72451" w:rsidRDefault="005469EA" w:rsidP="00DA6945">
      <w:pPr>
        <w:spacing w:after="0" w:line="480" w:lineRule="auto"/>
        <w:ind w:firstLine="720"/>
        <w:contextualSpacing/>
        <w:rPr>
          <w:rFonts w:ascii="Times New Roman" w:hAnsi="Times New Roman" w:cs="Times New Roman"/>
          <w:sz w:val="24"/>
          <w:szCs w:val="24"/>
        </w:rPr>
      </w:pPr>
      <w:r w:rsidRPr="00D72451">
        <w:rPr>
          <w:rFonts w:ascii="Times New Roman" w:hAnsi="Times New Roman" w:cs="Times New Roman"/>
          <w:sz w:val="24"/>
          <w:szCs w:val="24"/>
        </w:rPr>
        <w:t>The law and ethics require the researcher to allow the vendor reasonable time for investigating and patching the vulnerability as per the advisory full disclosure timeline (Pupillo, Ferreira, &amp; Varisco, 2018). After the vendor has made available the patch, the independent user is then allowed to publish a full report that describes the vulnerability in details, the impacts it has and the resolution that the vendor has taken to address the issues.</w:t>
      </w:r>
    </w:p>
    <w:p w:rsidR="005469EA" w:rsidRPr="00D72451" w:rsidRDefault="005469EA" w:rsidP="00DA6945">
      <w:pPr>
        <w:spacing w:after="0" w:line="480" w:lineRule="auto"/>
        <w:contextualSpacing/>
        <w:jc w:val="center"/>
        <w:rPr>
          <w:rFonts w:ascii="Times New Roman" w:hAnsi="Times New Roman" w:cs="Times New Roman"/>
          <w:b/>
          <w:sz w:val="24"/>
          <w:szCs w:val="24"/>
        </w:rPr>
      </w:pPr>
      <w:r w:rsidRPr="00D72451">
        <w:rPr>
          <w:rFonts w:ascii="Times New Roman" w:hAnsi="Times New Roman" w:cs="Times New Roman"/>
          <w:b/>
          <w:sz w:val="24"/>
          <w:szCs w:val="24"/>
        </w:rPr>
        <w:t>The legal obligation of the government</w:t>
      </w:r>
    </w:p>
    <w:p w:rsidR="005469EA" w:rsidRPr="00D72451" w:rsidRDefault="005469EA" w:rsidP="00DA6945">
      <w:pPr>
        <w:spacing w:after="0" w:line="480" w:lineRule="auto"/>
        <w:ind w:firstLine="720"/>
        <w:contextualSpacing/>
        <w:rPr>
          <w:rFonts w:ascii="Times New Roman" w:hAnsi="Times New Roman" w:cs="Times New Roman"/>
          <w:sz w:val="24"/>
          <w:szCs w:val="24"/>
        </w:rPr>
      </w:pPr>
      <w:r w:rsidRPr="00D72451">
        <w:rPr>
          <w:rFonts w:ascii="Times New Roman" w:hAnsi="Times New Roman" w:cs="Times New Roman"/>
          <w:sz w:val="24"/>
          <w:szCs w:val="24"/>
        </w:rPr>
        <w:t>The government has the legal responsibility of properly disclosing the security vulnerability if they come to know it (Schwartz &amp; Knake, 2016). The governments, especially the US government has come up with a detailed process known as the Vulnerabilities Equities Process (Schwartz &amp; Knake, 2016). This is the US government’s policies which offer guidelines on how the government reviews and coordinates the closure that it learns about or creates. As such, the government has the responsibility of considering how and when to disclose the vulnerability it has learned of to the company so that the developer can fix it as soon as possible (Schwartz &amp; Knake, 2016).</w:t>
      </w:r>
    </w:p>
    <w:p w:rsidR="005469EA" w:rsidRPr="00D72451" w:rsidRDefault="005469EA" w:rsidP="00DA6945">
      <w:pPr>
        <w:spacing w:after="0" w:line="480" w:lineRule="auto"/>
        <w:ind w:firstLine="720"/>
        <w:contextualSpacing/>
        <w:rPr>
          <w:rFonts w:ascii="Times New Roman" w:hAnsi="Times New Roman" w:cs="Times New Roman"/>
          <w:sz w:val="24"/>
          <w:szCs w:val="24"/>
        </w:rPr>
      </w:pPr>
      <w:r w:rsidRPr="00D72451">
        <w:rPr>
          <w:rFonts w:ascii="Times New Roman" w:hAnsi="Times New Roman" w:cs="Times New Roman"/>
          <w:sz w:val="24"/>
          <w:szCs w:val="24"/>
        </w:rPr>
        <w:t>The governments can corner some of the vulnerabilities so that it gives it advantages, which it can use to hack into other systems in times of adversities (Scheiner, 2015). This is mainly done as a means of defense which gives the government an upper hand when dealing with terrorists and hackers. However, the government is purported to be only hoarding zero-day vulnerabilities (Scheiner, 2015).</w:t>
      </w:r>
    </w:p>
    <w:p w:rsidR="005469EA" w:rsidRPr="00D72451" w:rsidRDefault="005469EA" w:rsidP="00DA6945">
      <w:pPr>
        <w:spacing w:after="0" w:line="480" w:lineRule="auto"/>
        <w:contextualSpacing/>
        <w:jc w:val="center"/>
        <w:rPr>
          <w:rFonts w:ascii="Times New Roman" w:hAnsi="Times New Roman" w:cs="Times New Roman"/>
          <w:b/>
          <w:sz w:val="24"/>
          <w:szCs w:val="24"/>
        </w:rPr>
      </w:pPr>
      <w:r w:rsidRPr="00D72451">
        <w:rPr>
          <w:rFonts w:ascii="Times New Roman" w:hAnsi="Times New Roman" w:cs="Times New Roman"/>
          <w:b/>
          <w:sz w:val="24"/>
          <w:szCs w:val="24"/>
        </w:rPr>
        <w:t>Legal Obligations of Companies about attacks their Systems</w:t>
      </w:r>
    </w:p>
    <w:p w:rsidR="005469EA" w:rsidRPr="00D72451" w:rsidRDefault="005469EA" w:rsidP="00DA6945">
      <w:pPr>
        <w:spacing w:after="0" w:line="480" w:lineRule="auto"/>
        <w:ind w:firstLine="720"/>
        <w:contextualSpacing/>
        <w:rPr>
          <w:rFonts w:ascii="Times New Roman" w:hAnsi="Times New Roman" w:cs="Times New Roman"/>
          <w:sz w:val="24"/>
          <w:szCs w:val="24"/>
        </w:rPr>
      </w:pPr>
      <w:r w:rsidRPr="00D72451">
        <w:rPr>
          <w:rFonts w:ascii="Times New Roman" w:hAnsi="Times New Roman" w:cs="Times New Roman"/>
          <w:sz w:val="24"/>
          <w:szCs w:val="24"/>
        </w:rPr>
        <w:t>Over the past decades, attacks on companies’ systems have increased (Katten, 2015). As such, it is the legal obligations of companies to designate a particular senior employee with privacy and security management oversight responsibilities (Katten, 2015). Companies have specific obligations of ensuring that it identifies most, if not all, the foreseeable cybersecurity risks (Katten, 2015). The companies should, therefore, have policies and procedures which help in avoiding, detecting and responding to cybersecurity breaches and attacks. Companies also have the obligations of ensuring that all its staff is trained to identify and react to cybersecurity breaches and attacks.</w:t>
      </w:r>
    </w:p>
    <w:p w:rsidR="00D72451" w:rsidRPr="00D72451" w:rsidRDefault="005469EA" w:rsidP="00DA6945">
      <w:pPr>
        <w:spacing w:after="0" w:line="480" w:lineRule="auto"/>
        <w:ind w:firstLine="720"/>
        <w:contextualSpacing/>
        <w:rPr>
          <w:rFonts w:ascii="Times New Roman" w:hAnsi="Times New Roman" w:cs="Times New Roman"/>
          <w:sz w:val="24"/>
          <w:szCs w:val="24"/>
        </w:rPr>
      </w:pPr>
      <w:r w:rsidRPr="00D72451">
        <w:rPr>
          <w:rFonts w:ascii="Times New Roman" w:hAnsi="Times New Roman" w:cs="Times New Roman"/>
          <w:sz w:val="24"/>
          <w:szCs w:val="24"/>
        </w:rPr>
        <w:t>In the same way, companies must test the cybersecurity policies regularly and engage in frequent updates of their cyber-security policies to avoid attacks. Besides, the companies are expected to conduct vendor due diligence to ensure that the vendors do not plan the attacks. The company is required to notify its customers of the attacks in the system, and the potential effects of the attacks, describing whether the customer information was accessed and the actions are taken to mitigate and avoid such in the future (Katten, 2015). Companies should disclose the attacks to both the government, the users affected by the breach as well as the investors.</w:t>
      </w:r>
    </w:p>
    <w:p w:rsidR="00D72451" w:rsidRPr="00D72451" w:rsidRDefault="00D72451" w:rsidP="00DA6945">
      <w:pPr>
        <w:spacing w:after="0" w:line="480" w:lineRule="auto"/>
        <w:contextualSpacing/>
        <w:rPr>
          <w:rFonts w:ascii="Times New Roman" w:hAnsi="Times New Roman" w:cs="Times New Roman"/>
          <w:sz w:val="24"/>
          <w:szCs w:val="24"/>
        </w:rPr>
      </w:pPr>
      <w:r w:rsidRPr="00D72451">
        <w:rPr>
          <w:rFonts w:ascii="Times New Roman" w:hAnsi="Times New Roman" w:cs="Times New Roman"/>
          <w:sz w:val="24"/>
          <w:szCs w:val="24"/>
        </w:rPr>
        <w:br w:type="page"/>
      </w:r>
    </w:p>
    <w:p w:rsidR="00CA2E6B" w:rsidRPr="00D72451" w:rsidRDefault="00D72451" w:rsidP="00DA6945">
      <w:pPr>
        <w:spacing w:after="0" w:line="480" w:lineRule="auto"/>
        <w:contextualSpacing/>
        <w:jc w:val="center"/>
        <w:rPr>
          <w:rFonts w:ascii="Times New Roman" w:hAnsi="Times New Roman" w:cs="Times New Roman"/>
          <w:sz w:val="24"/>
          <w:szCs w:val="24"/>
        </w:rPr>
      </w:pPr>
      <w:r w:rsidRPr="00D72451">
        <w:rPr>
          <w:rFonts w:ascii="Times New Roman" w:hAnsi="Times New Roman" w:cs="Times New Roman"/>
          <w:sz w:val="24"/>
          <w:szCs w:val="24"/>
        </w:rPr>
        <w:t>References</w:t>
      </w:r>
    </w:p>
    <w:p w:rsidR="00D72451" w:rsidRPr="00D72451" w:rsidRDefault="00D72451" w:rsidP="00DA6945">
      <w:pPr>
        <w:spacing w:after="0" w:line="480" w:lineRule="auto"/>
        <w:ind w:left="720" w:hanging="720"/>
        <w:contextualSpacing/>
        <w:rPr>
          <w:rFonts w:ascii="Times New Roman" w:hAnsi="Times New Roman" w:cs="Times New Roman"/>
          <w:sz w:val="24"/>
          <w:szCs w:val="24"/>
        </w:rPr>
      </w:pPr>
      <w:r w:rsidRPr="00D72451">
        <w:rPr>
          <w:rFonts w:ascii="Times New Roman" w:hAnsi="Times New Roman" w:cs="Times New Roman"/>
          <w:sz w:val="24"/>
          <w:szCs w:val="24"/>
        </w:rPr>
        <w:t>Katten. (2015). Cyber-Attacks: Threats, Regulatory Reaction a</w:t>
      </w:r>
      <w:r w:rsidR="00DA6945">
        <w:rPr>
          <w:rFonts w:ascii="Times New Roman" w:hAnsi="Times New Roman" w:cs="Times New Roman"/>
          <w:sz w:val="24"/>
          <w:szCs w:val="24"/>
        </w:rPr>
        <w:t xml:space="preserve">nd Practical Proactive Measures </w:t>
      </w:r>
      <w:r w:rsidRPr="00D72451">
        <w:rPr>
          <w:rFonts w:ascii="Times New Roman" w:hAnsi="Times New Roman" w:cs="Times New Roman"/>
          <w:sz w:val="24"/>
          <w:szCs w:val="24"/>
        </w:rPr>
        <w:t xml:space="preserve">to Help Avoid Risks. </w:t>
      </w:r>
      <w:r w:rsidRPr="00D72451">
        <w:rPr>
          <w:rFonts w:ascii="Times New Roman" w:hAnsi="Times New Roman" w:cs="Times New Roman"/>
          <w:i/>
          <w:sz w:val="24"/>
          <w:szCs w:val="24"/>
        </w:rPr>
        <w:t>Retrieved from</w:t>
      </w:r>
      <w:r w:rsidRPr="00D72451">
        <w:rPr>
          <w:rFonts w:ascii="Times New Roman" w:hAnsi="Times New Roman" w:cs="Times New Roman"/>
          <w:sz w:val="24"/>
          <w:szCs w:val="24"/>
        </w:rPr>
        <w:t xml:space="preserve"> </w:t>
      </w:r>
      <w:hyperlink r:id="rId7" w:history="1">
        <w:r w:rsidR="00DA6945" w:rsidRPr="00B04DBD">
          <w:rPr>
            <w:rStyle w:val="Hyperlink"/>
            <w:rFonts w:ascii="Times New Roman" w:hAnsi="Times New Roman" w:cs="Times New Roman"/>
            <w:sz w:val="24"/>
            <w:szCs w:val="24"/>
          </w:rPr>
          <w:t>https://www.kattenlaw.com/Cyber-Attacks-Threats Regulatory-Reaction-and-Practical-Proactive-Measures-to-Help-Avoid-Risks#_ftnref57</w:t>
        </w:r>
      </w:hyperlink>
    </w:p>
    <w:p w:rsidR="00D72451" w:rsidRPr="00D72451" w:rsidRDefault="00D72451" w:rsidP="00DA6945">
      <w:pPr>
        <w:spacing w:after="0" w:line="480" w:lineRule="auto"/>
        <w:ind w:left="720" w:hanging="720"/>
        <w:contextualSpacing/>
        <w:rPr>
          <w:rFonts w:ascii="Times New Roman" w:hAnsi="Times New Roman" w:cs="Times New Roman"/>
          <w:sz w:val="24"/>
          <w:szCs w:val="24"/>
        </w:rPr>
      </w:pPr>
      <w:r w:rsidRPr="00D72451">
        <w:rPr>
          <w:rFonts w:ascii="Times New Roman" w:hAnsi="Times New Roman" w:cs="Times New Roman"/>
          <w:sz w:val="24"/>
          <w:szCs w:val="24"/>
        </w:rPr>
        <w:t xml:space="preserve">Pupillo, L., Ferreira, A., &amp; Varisco, G. (2018). </w:t>
      </w:r>
      <w:r w:rsidRPr="00D72451">
        <w:rPr>
          <w:rFonts w:ascii="Times New Roman" w:hAnsi="Times New Roman" w:cs="Times New Roman"/>
          <w:i/>
          <w:sz w:val="24"/>
          <w:szCs w:val="24"/>
        </w:rPr>
        <w:t>Software vulner</w:t>
      </w:r>
      <w:r w:rsidR="00DA6945">
        <w:rPr>
          <w:rFonts w:ascii="Times New Roman" w:hAnsi="Times New Roman" w:cs="Times New Roman"/>
          <w:i/>
          <w:sz w:val="24"/>
          <w:szCs w:val="24"/>
        </w:rPr>
        <w:t xml:space="preserve">ability disclosure in Europe: </w:t>
      </w:r>
      <w:r w:rsidRPr="00D72451">
        <w:rPr>
          <w:rFonts w:ascii="Times New Roman" w:hAnsi="Times New Roman" w:cs="Times New Roman"/>
          <w:i/>
          <w:sz w:val="24"/>
          <w:szCs w:val="24"/>
        </w:rPr>
        <w:t>technology, policies and legal.</w:t>
      </w:r>
      <w:r w:rsidRPr="00D72451">
        <w:rPr>
          <w:rFonts w:ascii="Times New Roman" w:hAnsi="Times New Roman" w:cs="Times New Roman"/>
          <w:sz w:val="24"/>
          <w:szCs w:val="24"/>
        </w:rPr>
        <w:t xml:space="preserve"> US: Brookings Institution Press.</w:t>
      </w:r>
    </w:p>
    <w:p w:rsidR="00D72451" w:rsidRPr="00D72451" w:rsidRDefault="00D72451" w:rsidP="00DA6945">
      <w:pPr>
        <w:spacing w:after="0" w:line="480" w:lineRule="auto"/>
        <w:ind w:left="720" w:hanging="720"/>
        <w:contextualSpacing/>
        <w:rPr>
          <w:rFonts w:ascii="Times New Roman" w:hAnsi="Times New Roman" w:cs="Times New Roman"/>
          <w:sz w:val="24"/>
          <w:szCs w:val="24"/>
        </w:rPr>
      </w:pPr>
      <w:r w:rsidRPr="00D72451">
        <w:rPr>
          <w:rFonts w:ascii="Times New Roman" w:hAnsi="Times New Roman" w:cs="Times New Roman"/>
          <w:sz w:val="24"/>
          <w:szCs w:val="24"/>
        </w:rPr>
        <w:t xml:space="preserve">Scheiner, B. (2015). </w:t>
      </w:r>
      <w:r w:rsidRPr="00D72451">
        <w:rPr>
          <w:rFonts w:ascii="Times New Roman" w:hAnsi="Times New Roman" w:cs="Times New Roman"/>
          <w:i/>
          <w:sz w:val="24"/>
          <w:szCs w:val="24"/>
        </w:rPr>
        <w:t>Data and Goliath: The Hidden Battles t</w:t>
      </w:r>
      <w:r w:rsidR="00DA6945">
        <w:rPr>
          <w:rFonts w:ascii="Times New Roman" w:hAnsi="Times New Roman" w:cs="Times New Roman"/>
          <w:i/>
          <w:sz w:val="24"/>
          <w:szCs w:val="24"/>
        </w:rPr>
        <w:t xml:space="preserve">o Collect Your Data and Control </w:t>
      </w:r>
      <w:r w:rsidRPr="00D72451">
        <w:rPr>
          <w:rFonts w:ascii="Times New Roman" w:hAnsi="Times New Roman" w:cs="Times New Roman"/>
          <w:i/>
          <w:sz w:val="24"/>
          <w:szCs w:val="24"/>
        </w:rPr>
        <w:t>Your World.</w:t>
      </w:r>
      <w:r w:rsidRPr="00D72451">
        <w:rPr>
          <w:rFonts w:ascii="Times New Roman" w:hAnsi="Times New Roman" w:cs="Times New Roman"/>
          <w:sz w:val="24"/>
          <w:szCs w:val="24"/>
        </w:rPr>
        <w:t xml:space="preserve"> New York: Norton &amp; Company.</w:t>
      </w:r>
    </w:p>
    <w:p w:rsidR="00D72451" w:rsidRPr="00D72451" w:rsidRDefault="00D72451" w:rsidP="00DA6945">
      <w:pPr>
        <w:spacing w:after="0" w:line="480" w:lineRule="auto"/>
        <w:ind w:left="720" w:hanging="720"/>
        <w:contextualSpacing/>
        <w:rPr>
          <w:rFonts w:ascii="Times New Roman" w:hAnsi="Times New Roman" w:cs="Times New Roman"/>
          <w:sz w:val="24"/>
          <w:szCs w:val="24"/>
        </w:rPr>
      </w:pPr>
      <w:r w:rsidRPr="00D72451">
        <w:rPr>
          <w:rFonts w:ascii="Times New Roman" w:hAnsi="Times New Roman" w:cs="Times New Roman"/>
          <w:sz w:val="24"/>
          <w:szCs w:val="24"/>
        </w:rPr>
        <w:t>Schwartz, A. &amp; Knak</w:t>
      </w:r>
      <w:bookmarkStart w:id="0" w:name="_GoBack"/>
      <w:bookmarkEnd w:id="0"/>
      <w:r w:rsidRPr="00D72451">
        <w:rPr>
          <w:rFonts w:ascii="Times New Roman" w:hAnsi="Times New Roman" w:cs="Times New Roman"/>
          <w:sz w:val="24"/>
          <w:szCs w:val="24"/>
        </w:rPr>
        <w:t>e, R. (2016). Government’s Role in Vulne</w:t>
      </w:r>
      <w:r w:rsidR="00DA6945">
        <w:rPr>
          <w:rFonts w:ascii="Times New Roman" w:hAnsi="Times New Roman" w:cs="Times New Roman"/>
          <w:sz w:val="24"/>
          <w:szCs w:val="24"/>
        </w:rPr>
        <w:t xml:space="preserve">rability Disclosure: Creating a </w:t>
      </w:r>
      <w:r w:rsidRPr="00D72451">
        <w:rPr>
          <w:rFonts w:ascii="Times New Roman" w:hAnsi="Times New Roman" w:cs="Times New Roman"/>
          <w:sz w:val="24"/>
          <w:szCs w:val="24"/>
        </w:rPr>
        <w:t xml:space="preserve">Permanent and Accountable Vulnerability Equities Process. </w:t>
      </w:r>
      <w:r w:rsidRPr="00D72451">
        <w:rPr>
          <w:rFonts w:ascii="Times New Roman" w:hAnsi="Times New Roman" w:cs="Times New Roman"/>
          <w:i/>
          <w:sz w:val="24"/>
          <w:szCs w:val="24"/>
        </w:rPr>
        <w:t>Retrieved from</w:t>
      </w:r>
      <w:r w:rsidR="00DA6945">
        <w:rPr>
          <w:rFonts w:ascii="Times New Roman" w:hAnsi="Times New Roman" w:cs="Times New Roman"/>
          <w:sz w:val="24"/>
          <w:szCs w:val="24"/>
        </w:rPr>
        <w:t xml:space="preserve"> </w:t>
      </w:r>
      <w:hyperlink r:id="rId8" w:history="1">
        <w:r w:rsidR="00DA6945" w:rsidRPr="00B04DBD">
          <w:rPr>
            <w:rStyle w:val="Hyperlink"/>
            <w:rFonts w:ascii="Times New Roman" w:hAnsi="Times New Roman" w:cs="Times New Roman"/>
            <w:sz w:val="24"/>
            <w:szCs w:val="24"/>
          </w:rPr>
          <w:t>https://www.belfercenter.org/sites/default/files/legacy/files/vulnerability-disclosure-web final3.pdf</w:t>
        </w:r>
      </w:hyperlink>
    </w:p>
    <w:p w:rsidR="00D72451" w:rsidRPr="00D72451" w:rsidRDefault="00D72451" w:rsidP="00D72451">
      <w:pPr>
        <w:spacing w:line="480" w:lineRule="auto"/>
        <w:rPr>
          <w:rFonts w:ascii="Times New Roman" w:hAnsi="Times New Roman" w:cs="Times New Roman"/>
          <w:sz w:val="24"/>
          <w:szCs w:val="24"/>
        </w:rPr>
      </w:pPr>
    </w:p>
    <w:sectPr w:rsidR="00D72451" w:rsidRPr="00D72451" w:rsidSect="00D72451">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604F" w:rsidRDefault="0072604F" w:rsidP="00D72451">
      <w:pPr>
        <w:spacing w:after="0" w:line="240" w:lineRule="auto"/>
      </w:pPr>
      <w:r>
        <w:separator/>
      </w:r>
    </w:p>
  </w:endnote>
  <w:endnote w:type="continuationSeparator" w:id="0">
    <w:p w:rsidR="0072604F" w:rsidRDefault="0072604F" w:rsidP="00D724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604F" w:rsidRDefault="0072604F" w:rsidP="00D72451">
      <w:pPr>
        <w:spacing w:after="0" w:line="240" w:lineRule="auto"/>
      </w:pPr>
      <w:r>
        <w:separator/>
      </w:r>
    </w:p>
  </w:footnote>
  <w:footnote w:type="continuationSeparator" w:id="0">
    <w:p w:rsidR="0072604F" w:rsidRDefault="0072604F" w:rsidP="00D7245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451" w:rsidRPr="00D72451" w:rsidRDefault="00D72451">
    <w:pPr>
      <w:pStyle w:val="Header"/>
      <w:jc w:val="right"/>
      <w:rPr>
        <w:rFonts w:ascii="Times New Roman" w:hAnsi="Times New Roman" w:cs="Times New Roman"/>
        <w:sz w:val="24"/>
        <w:szCs w:val="24"/>
      </w:rPr>
    </w:pPr>
    <w:r w:rsidRPr="00D72451">
      <w:rPr>
        <w:rFonts w:ascii="Times New Roman" w:hAnsi="Times New Roman" w:cs="Times New Roman"/>
        <w:sz w:val="24"/>
        <w:szCs w:val="24"/>
      </w:rPr>
      <w:t>LAWS AND ETHICS</w:t>
    </w:r>
    <w:r w:rsidRPr="00D72451">
      <w:rPr>
        <w:rFonts w:ascii="Times New Roman" w:hAnsi="Times New Roman" w:cs="Times New Roman"/>
        <w:sz w:val="24"/>
        <w:szCs w:val="24"/>
      </w:rPr>
      <w:tab/>
    </w:r>
    <w:r w:rsidRPr="00D72451">
      <w:rPr>
        <w:rFonts w:ascii="Times New Roman" w:hAnsi="Times New Roman" w:cs="Times New Roman"/>
        <w:sz w:val="24"/>
        <w:szCs w:val="24"/>
      </w:rPr>
      <w:tab/>
    </w:r>
    <w:sdt>
      <w:sdtPr>
        <w:rPr>
          <w:rFonts w:ascii="Times New Roman" w:hAnsi="Times New Roman" w:cs="Times New Roman"/>
          <w:sz w:val="24"/>
          <w:szCs w:val="24"/>
        </w:rPr>
        <w:id w:val="969008086"/>
        <w:docPartObj>
          <w:docPartGallery w:val="Page Numbers (Top of Page)"/>
          <w:docPartUnique/>
        </w:docPartObj>
      </w:sdtPr>
      <w:sdtEndPr>
        <w:rPr>
          <w:noProof/>
        </w:rPr>
      </w:sdtEndPr>
      <w:sdtContent>
        <w:r w:rsidRPr="00D72451">
          <w:rPr>
            <w:rFonts w:ascii="Times New Roman" w:hAnsi="Times New Roman" w:cs="Times New Roman"/>
            <w:sz w:val="24"/>
            <w:szCs w:val="24"/>
          </w:rPr>
          <w:fldChar w:fldCharType="begin"/>
        </w:r>
        <w:r w:rsidRPr="00D72451">
          <w:rPr>
            <w:rFonts w:ascii="Times New Roman" w:hAnsi="Times New Roman" w:cs="Times New Roman"/>
            <w:sz w:val="24"/>
            <w:szCs w:val="24"/>
          </w:rPr>
          <w:instrText xml:space="preserve"> PAGE   \* MERGEFORMAT </w:instrText>
        </w:r>
        <w:r w:rsidRPr="00D72451">
          <w:rPr>
            <w:rFonts w:ascii="Times New Roman" w:hAnsi="Times New Roman" w:cs="Times New Roman"/>
            <w:sz w:val="24"/>
            <w:szCs w:val="24"/>
          </w:rPr>
          <w:fldChar w:fldCharType="separate"/>
        </w:r>
        <w:r w:rsidR="00DA6945">
          <w:rPr>
            <w:rFonts w:ascii="Times New Roman" w:hAnsi="Times New Roman" w:cs="Times New Roman"/>
            <w:noProof/>
            <w:sz w:val="24"/>
            <w:szCs w:val="24"/>
          </w:rPr>
          <w:t>5</w:t>
        </w:r>
        <w:r w:rsidRPr="00D72451">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2451" w:rsidRPr="00D72451" w:rsidRDefault="00D72451" w:rsidP="00D72451">
    <w:pPr>
      <w:pStyle w:val="Header"/>
      <w:jc w:val="right"/>
      <w:rPr>
        <w:rFonts w:ascii="Times New Roman" w:hAnsi="Times New Roman" w:cs="Times New Roman"/>
        <w:sz w:val="24"/>
        <w:szCs w:val="24"/>
      </w:rPr>
    </w:pPr>
    <w:r w:rsidRPr="00D72451">
      <w:rPr>
        <w:rFonts w:ascii="Times New Roman" w:hAnsi="Times New Roman" w:cs="Times New Roman"/>
        <w:sz w:val="24"/>
        <w:szCs w:val="24"/>
      </w:rPr>
      <w:t>Running head: LAWS AND ETHICS</w:t>
    </w:r>
    <w:r w:rsidRPr="00D72451">
      <w:rPr>
        <w:rFonts w:ascii="Times New Roman" w:hAnsi="Times New Roman" w:cs="Times New Roman"/>
        <w:sz w:val="24"/>
        <w:szCs w:val="24"/>
      </w:rPr>
      <w:tab/>
    </w:r>
    <w:r w:rsidRPr="00D72451">
      <w:rPr>
        <w:rFonts w:ascii="Times New Roman" w:hAnsi="Times New Roman" w:cs="Times New Roman"/>
        <w:sz w:val="24"/>
        <w:szCs w:val="24"/>
      </w:rPr>
      <w:tab/>
    </w:r>
    <w:sdt>
      <w:sdtPr>
        <w:rPr>
          <w:rFonts w:ascii="Times New Roman" w:hAnsi="Times New Roman" w:cs="Times New Roman"/>
          <w:sz w:val="24"/>
          <w:szCs w:val="24"/>
        </w:rPr>
        <w:id w:val="-1947380158"/>
        <w:docPartObj>
          <w:docPartGallery w:val="Page Numbers (Top of Page)"/>
          <w:docPartUnique/>
        </w:docPartObj>
      </w:sdtPr>
      <w:sdtEndPr>
        <w:rPr>
          <w:noProof/>
        </w:rPr>
      </w:sdtEndPr>
      <w:sdtContent>
        <w:r w:rsidRPr="00D72451">
          <w:rPr>
            <w:rFonts w:ascii="Times New Roman" w:hAnsi="Times New Roman" w:cs="Times New Roman"/>
            <w:sz w:val="24"/>
            <w:szCs w:val="24"/>
          </w:rPr>
          <w:fldChar w:fldCharType="begin"/>
        </w:r>
        <w:r w:rsidRPr="00D72451">
          <w:rPr>
            <w:rFonts w:ascii="Times New Roman" w:hAnsi="Times New Roman" w:cs="Times New Roman"/>
            <w:sz w:val="24"/>
            <w:szCs w:val="24"/>
          </w:rPr>
          <w:instrText xml:space="preserve"> PAGE   \* MERGEFORMAT </w:instrText>
        </w:r>
        <w:r w:rsidRPr="00D72451">
          <w:rPr>
            <w:rFonts w:ascii="Times New Roman" w:hAnsi="Times New Roman" w:cs="Times New Roman"/>
            <w:sz w:val="24"/>
            <w:szCs w:val="24"/>
          </w:rPr>
          <w:fldChar w:fldCharType="separate"/>
        </w:r>
        <w:r w:rsidR="0072604F">
          <w:rPr>
            <w:rFonts w:ascii="Times New Roman" w:hAnsi="Times New Roman" w:cs="Times New Roman"/>
            <w:noProof/>
            <w:sz w:val="24"/>
            <w:szCs w:val="24"/>
          </w:rPr>
          <w:t>1</w:t>
        </w:r>
        <w:r w:rsidRPr="00D7245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BD1"/>
    <w:rsid w:val="001A5F53"/>
    <w:rsid w:val="001F3F6D"/>
    <w:rsid w:val="005469EA"/>
    <w:rsid w:val="0072604F"/>
    <w:rsid w:val="007D7014"/>
    <w:rsid w:val="00945E27"/>
    <w:rsid w:val="009C1BD1"/>
    <w:rsid w:val="00CA2E6B"/>
    <w:rsid w:val="00D72451"/>
    <w:rsid w:val="00DA6945"/>
    <w:rsid w:val="00E30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2451"/>
    <w:rPr>
      <w:color w:val="0563C1" w:themeColor="hyperlink"/>
      <w:u w:val="single"/>
    </w:rPr>
  </w:style>
  <w:style w:type="paragraph" w:styleId="Header">
    <w:name w:val="header"/>
    <w:basedOn w:val="Normal"/>
    <w:link w:val="HeaderChar"/>
    <w:uiPriority w:val="99"/>
    <w:unhideWhenUsed/>
    <w:rsid w:val="00D724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2451"/>
  </w:style>
  <w:style w:type="paragraph" w:styleId="Footer">
    <w:name w:val="footer"/>
    <w:basedOn w:val="Normal"/>
    <w:link w:val="FooterChar"/>
    <w:uiPriority w:val="99"/>
    <w:unhideWhenUsed/>
    <w:rsid w:val="00D724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245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72451"/>
    <w:rPr>
      <w:color w:val="0563C1" w:themeColor="hyperlink"/>
      <w:u w:val="single"/>
    </w:rPr>
  </w:style>
  <w:style w:type="paragraph" w:styleId="Header">
    <w:name w:val="header"/>
    <w:basedOn w:val="Normal"/>
    <w:link w:val="HeaderChar"/>
    <w:uiPriority w:val="99"/>
    <w:unhideWhenUsed/>
    <w:rsid w:val="00D724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2451"/>
  </w:style>
  <w:style w:type="paragraph" w:styleId="Footer">
    <w:name w:val="footer"/>
    <w:basedOn w:val="Normal"/>
    <w:link w:val="FooterChar"/>
    <w:uiPriority w:val="99"/>
    <w:unhideWhenUsed/>
    <w:rsid w:val="00D724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24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elfercenter.org/sites/default/files/legacy/files/vulnerability-disclosure-web%20final3.pdf" TargetMode="External"/><Relationship Id="rId3" Type="http://schemas.openxmlformats.org/officeDocument/2006/relationships/settings" Target="settings.xml"/><Relationship Id="rId7" Type="http://schemas.openxmlformats.org/officeDocument/2006/relationships/hyperlink" Target="https://www.kattenlaw.com/Cyber-Attacks-Threats%20Regulatory-Reaction-and-Practical-Proactive-Measures-to-Help-Avoid-Risks#_ftnref57"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774</Words>
  <Characters>4413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2019-04-05T05:08:00Z</dcterms:created>
  <dcterms:modified xsi:type="dcterms:W3CDTF">2019-04-05T05:08:00Z</dcterms:modified>
</cp:coreProperties>
</file>